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1"/>
        <w:gridCol w:w="1329"/>
        <w:gridCol w:w="771"/>
        <w:gridCol w:w="103"/>
        <w:gridCol w:w="877"/>
        <w:gridCol w:w="1281"/>
        <w:gridCol w:w="262"/>
        <w:gridCol w:w="782"/>
        <w:gridCol w:w="325"/>
        <w:gridCol w:w="925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948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临沧市2023年工会社会工作专业人才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楷体" w:hAnsi="华文楷体" w:eastAsia="华文楷体" w:cs="华文楷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462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制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 况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人员类别（应届毕业生/下岗职工/就业转失业/农村求职/其他人员）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2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4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  <w:t>期间任职、奖励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4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4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4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4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94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龄</w:t>
            </w:r>
          </w:p>
        </w:tc>
        <w:tc>
          <w:tcPr>
            <w:tcW w:w="3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3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3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3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36363D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36363D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M2U4ZDU1MDFjMjBmNmZjMGE3YjM0NDI4ZjE5MzEifQ=="/>
  </w:docVars>
  <w:rsids>
    <w:rsidRoot w:val="3C353DF8"/>
    <w:rsid w:val="3C353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2023-05-23T09:47:00Z</dcterms:created>
  <dc:creator>臭小子</dc:creator>
  <cp:lastModifiedBy>臭小子</cp:lastModifiedBy>
  <dcterms:modified xsi:type="dcterms:W3CDTF">2023-05-23T09:49:05Z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70373E4C0BC34663A56B8BBB3A2B68CD_11</vt:lpwstr>
  </property>
</Properties>
</file>