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bidi w:val="0"/>
        <w:spacing w:before="0" w:beforeAutospacing="0" w:after="0" w:afterAutospacing="0" w:line="560" w:lineRule="exact"/>
        <w:ind w:right="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镇康县国有资本投资运营有限责任公司员工招聘计划表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98"/>
        <w:gridCol w:w="1644"/>
        <w:gridCol w:w="1181"/>
        <w:gridCol w:w="3648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  <w:t>年龄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  <w:t>专业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  <w:t>招聘条件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男2人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周岁以下（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工作经验丰富者可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  <w:t>适当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放宽）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财务管理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会计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648" w:type="dxa"/>
            <w:vMerge w:val="restart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具有专科学历(国民教育）报考者具有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以上职称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连续从事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操4年以上工作经验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熟练操作会计电算化各类财务管理软件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本科及以上学历(国民教育）报考者具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初级会计专业技术资格证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以上职称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熟练操作会计电算化各类财务管理软件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注：以上招聘条件中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熟悉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出口业务核算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优先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招聘条件中所要求的相关资料必须提供，所提供的材料必须真实有效，若发现造假取消考试资格。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女1人</w:t>
            </w:r>
          </w:p>
        </w:tc>
        <w:tc>
          <w:tcPr>
            <w:tcW w:w="1644" w:type="dxa"/>
          </w:tcPr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周岁以下（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工作经验丰富者可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  <w:t>适当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放宽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1" w:type="dxa"/>
          </w:tcPr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财务管理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会计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val="en-US" w:eastAsia="zh-CN"/>
              </w:rPr>
              <w:t>学</w:t>
            </w:r>
          </w:p>
          <w:p>
            <w:pP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64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9AF98"/>
    <w:multiLevelType w:val="singleLevel"/>
    <w:tmpl w:val="E999AF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413F2"/>
    <w:rsid w:val="4C74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_GB2312"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2022-05-24T03:47:00Z</dcterms:created>
  <dc:creator>指尖上的小调调</dc:creator>
  <cp:lastModifiedBy>指尖上的小调调</cp:lastModifiedBy>
  <dcterms:modified xsi:type="dcterms:W3CDTF">2022-05-24T03:47:26Z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