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bidi w:val="0"/>
        <w:spacing w:before="0" w:beforeAutospacing="0" w:after="0" w:afterAutospacing="0" w:line="560" w:lineRule="exact"/>
        <w:ind w:right="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附件2.</w:t>
      </w:r>
    </w:p>
    <w:tbl>
      <w:tblPr>
        <w:tblStyle w:val="4"/>
        <w:tblW w:w="9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12"/>
        <w:gridCol w:w="1556"/>
        <w:gridCol w:w="1172"/>
        <w:gridCol w:w="2273"/>
        <w:gridCol w:w="988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镇康县国有资本投资运营有限责任公司员工招聘报名表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</w:tc>
        <w:tc>
          <w:tcPr>
            <w:tcW w:w="37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37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3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邮箱、微信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主修</w:t>
            </w:r>
          </w:p>
        </w:tc>
        <w:tc>
          <w:tcPr>
            <w:tcW w:w="8238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8238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宋体" w:hAnsi="宋体" w:eastAsia="宋体" w:cs="宋体"/>
          <w:color w:val="auto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3787B"/>
    <w:rsid w:val="5BB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_GB2312"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2022-05-24T03:44:00Z</dcterms:created>
  <dc:creator>指尖上的小调调</dc:creator>
  <cp:lastModifiedBy>指尖上的小调调</cp:lastModifiedBy>
  <dcterms:modified xsi:type="dcterms:W3CDTF">2022-05-24T03:45:14Z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